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81" w:rsidRPr="00635488" w:rsidRDefault="00294881" w:rsidP="00294881"/>
    <w:p w:rsidR="00294881" w:rsidRDefault="00294881" w:rsidP="00294881">
      <w:pPr>
        <w:pStyle w:val="Heading2"/>
        <w:jc w:val="center"/>
        <w:rPr>
          <w:i w:val="0"/>
        </w:rPr>
      </w:pPr>
      <w:r>
        <w:rPr>
          <w:i w:val="0"/>
        </w:rPr>
        <w:t xml:space="preserve">401(K) SALARY SAVINGS PLAN </w:t>
      </w:r>
    </w:p>
    <w:p w:rsidR="00294881" w:rsidRDefault="00294881" w:rsidP="00294881"/>
    <w:p w:rsidR="00294881" w:rsidRPr="00635488" w:rsidRDefault="00294881" w:rsidP="00294881">
      <w:pPr>
        <w:pStyle w:val="Heading2"/>
      </w:pPr>
      <w:r>
        <w:rPr>
          <w:i w:val="0"/>
        </w:rPr>
        <w:t>POLICY AND PROVISION</w:t>
      </w:r>
    </w:p>
    <w:p w:rsidR="00294881" w:rsidRDefault="00294881" w:rsidP="00294881">
      <w:pPr>
        <w:pStyle w:val="Heading1"/>
        <w:rPr>
          <w:i w:val="0"/>
          <w:sz w:val="24"/>
        </w:rPr>
      </w:pPr>
      <w:r>
        <w:rPr>
          <w:i w:val="0"/>
          <w:sz w:val="24"/>
        </w:rPr>
        <w:t xml:space="preserve">This plan is more completely described in the 401(k) Plan Summary Description.  Below is general information regarding eligibility and options for participation in the </w:t>
      </w:r>
      <w:proofErr w:type="gramStart"/>
      <w:r>
        <w:rPr>
          <w:i w:val="0"/>
          <w:sz w:val="24"/>
        </w:rPr>
        <w:t>plan.</w:t>
      </w:r>
      <w:proofErr w:type="gramEnd"/>
    </w:p>
    <w:p w:rsidR="00294881" w:rsidRPr="002428B2" w:rsidRDefault="00294881" w:rsidP="00294881">
      <w:pPr>
        <w:rPr>
          <w:rFonts w:ascii="Arial" w:hAnsi="Arial" w:cs="Arial"/>
        </w:rPr>
      </w:pPr>
    </w:p>
    <w:p w:rsidR="00294881" w:rsidRPr="007A77B4" w:rsidRDefault="00294881" w:rsidP="00294881">
      <w:pPr>
        <w:rPr>
          <w:rFonts w:ascii="Arial" w:hAnsi="Arial" w:cs="Arial"/>
          <w:b/>
        </w:rPr>
      </w:pPr>
      <w:r w:rsidRPr="002428B2">
        <w:rPr>
          <w:rFonts w:ascii="Arial" w:hAnsi="Arial" w:cs="Arial"/>
          <w:b/>
        </w:rPr>
        <w:t>Eligibility and Entry:</w:t>
      </w:r>
    </w:p>
    <w:p w:rsidR="00294881" w:rsidRPr="00001D89" w:rsidRDefault="00294881" w:rsidP="00294881">
      <w:pPr>
        <w:autoSpaceDE w:val="0"/>
        <w:autoSpaceDN w:val="0"/>
        <w:adjustRightInd w:val="0"/>
        <w:rPr>
          <w:rFonts w:ascii="Arial" w:hAnsi="Arial" w:cs="Arial"/>
          <w:szCs w:val="24"/>
        </w:rPr>
      </w:pPr>
      <w:proofErr w:type="gramStart"/>
      <w:r w:rsidRPr="002428B2">
        <w:rPr>
          <w:rFonts w:ascii="Arial" w:hAnsi="Arial" w:cs="Arial"/>
          <w:szCs w:val="24"/>
        </w:rPr>
        <w:t>*  You</w:t>
      </w:r>
      <w:proofErr w:type="gramEnd"/>
      <w:r w:rsidRPr="002428B2">
        <w:rPr>
          <w:rFonts w:ascii="Arial" w:hAnsi="Arial" w:cs="Arial"/>
          <w:szCs w:val="24"/>
        </w:rPr>
        <w:t xml:space="preserve"> must reach age 21 before you are eligible to defer a portion of your pay to the</w:t>
      </w:r>
      <w:r w:rsidRPr="00001D89">
        <w:rPr>
          <w:rFonts w:ascii="Arial" w:hAnsi="Arial" w:cs="Arial"/>
          <w:szCs w:val="24"/>
        </w:rPr>
        <w:t xml:space="preserve"> Plan.</w:t>
      </w:r>
    </w:p>
    <w:p w:rsidR="00294881" w:rsidRDefault="00294881" w:rsidP="00294881">
      <w:pPr>
        <w:autoSpaceDE w:val="0"/>
        <w:autoSpaceDN w:val="0"/>
        <w:adjustRightInd w:val="0"/>
        <w:rPr>
          <w:rFonts w:ascii="Arial" w:hAnsi="Arial" w:cs="Arial"/>
          <w:szCs w:val="24"/>
        </w:rPr>
      </w:pPr>
      <w:proofErr w:type="gramStart"/>
      <w:r>
        <w:rPr>
          <w:rFonts w:ascii="Arial" w:hAnsi="Arial" w:cs="Arial"/>
          <w:szCs w:val="24"/>
        </w:rPr>
        <w:t>*  You</w:t>
      </w:r>
      <w:proofErr w:type="gramEnd"/>
      <w:r>
        <w:rPr>
          <w:rFonts w:ascii="Arial" w:hAnsi="Arial" w:cs="Arial"/>
          <w:szCs w:val="24"/>
        </w:rPr>
        <w:t xml:space="preserve"> must work at least 1,000 hours within a 12-month measurement period .</w:t>
      </w:r>
      <w:r w:rsidRPr="00001D89">
        <w:rPr>
          <w:rFonts w:ascii="Arial" w:hAnsi="Arial" w:cs="Arial"/>
          <w:szCs w:val="24"/>
        </w:rPr>
        <w:t xml:space="preserve"> </w:t>
      </w:r>
    </w:p>
    <w:p w:rsidR="00294881" w:rsidRPr="00001D89" w:rsidRDefault="00294881" w:rsidP="00294881">
      <w:pPr>
        <w:autoSpaceDE w:val="0"/>
        <w:autoSpaceDN w:val="0"/>
        <w:adjustRightInd w:val="0"/>
        <w:rPr>
          <w:rFonts w:ascii="Arial" w:hAnsi="Arial" w:cs="Arial"/>
          <w:szCs w:val="24"/>
        </w:rPr>
      </w:pPr>
      <w:proofErr w:type="gramStart"/>
      <w:r>
        <w:rPr>
          <w:rFonts w:ascii="Arial" w:hAnsi="Arial" w:cs="Arial"/>
          <w:szCs w:val="24"/>
        </w:rPr>
        <w:t>*  Y</w:t>
      </w:r>
      <w:r w:rsidRPr="00001D89">
        <w:rPr>
          <w:rFonts w:ascii="Arial" w:hAnsi="Arial" w:cs="Arial"/>
          <w:szCs w:val="24"/>
        </w:rPr>
        <w:t>ou</w:t>
      </w:r>
      <w:proofErr w:type="gramEnd"/>
      <w:r w:rsidRPr="00001D89">
        <w:rPr>
          <w:rFonts w:ascii="Arial" w:hAnsi="Arial" w:cs="Arial"/>
          <w:szCs w:val="24"/>
        </w:rPr>
        <w:t xml:space="preserve"> will be credited with a year of service if you work 1</w:t>
      </w:r>
      <w:r>
        <w:rPr>
          <w:rFonts w:ascii="Arial" w:hAnsi="Arial" w:cs="Arial"/>
          <w:szCs w:val="24"/>
        </w:rPr>
        <w:t>,</w:t>
      </w:r>
      <w:r w:rsidRPr="00001D89">
        <w:rPr>
          <w:rFonts w:ascii="Arial" w:hAnsi="Arial" w:cs="Arial"/>
          <w:szCs w:val="24"/>
        </w:rPr>
        <w:t>000 hours during your initial eligibility measuring period. Your initial</w:t>
      </w:r>
      <w:r>
        <w:rPr>
          <w:rFonts w:ascii="Arial" w:hAnsi="Arial" w:cs="Arial"/>
          <w:szCs w:val="24"/>
        </w:rPr>
        <w:t xml:space="preserve"> </w:t>
      </w:r>
      <w:r w:rsidRPr="00001D89">
        <w:rPr>
          <w:rFonts w:ascii="Arial" w:hAnsi="Arial" w:cs="Arial"/>
          <w:szCs w:val="24"/>
        </w:rPr>
        <w:t>eligibility measuring period will be the 12-month period beginning with your hire date. If you do not satisfy the hours</w:t>
      </w:r>
    </w:p>
    <w:p w:rsidR="00294881" w:rsidRPr="00001D89" w:rsidRDefault="00294881" w:rsidP="00294881">
      <w:pPr>
        <w:autoSpaceDE w:val="0"/>
        <w:autoSpaceDN w:val="0"/>
        <w:adjustRightInd w:val="0"/>
        <w:rPr>
          <w:rFonts w:ascii="Arial" w:hAnsi="Arial" w:cs="Arial"/>
          <w:szCs w:val="24"/>
        </w:rPr>
      </w:pPr>
      <w:proofErr w:type="gramStart"/>
      <w:r w:rsidRPr="00001D89">
        <w:rPr>
          <w:rFonts w:ascii="Arial" w:hAnsi="Arial" w:cs="Arial"/>
          <w:szCs w:val="24"/>
        </w:rPr>
        <w:t>requirements</w:t>
      </w:r>
      <w:proofErr w:type="gramEnd"/>
      <w:r w:rsidRPr="00001D89">
        <w:rPr>
          <w:rFonts w:ascii="Arial" w:hAnsi="Arial" w:cs="Arial"/>
          <w:szCs w:val="24"/>
        </w:rPr>
        <w:t xml:space="preserve"> during that first measuring period, you will be credited with a year of service if you work 1</w:t>
      </w:r>
      <w:r>
        <w:rPr>
          <w:rFonts w:ascii="Arial" w:hAnsi="Arial" w:cs="Arial"/>
          <w:szCs w:val="24"/>
        </w:rPr>
        <w:t>,</w:t>
      </w:r>
      <w:r w:rsidRPr="00001D89">
        <w:rPr>
          <w:rFonts w:ascii="Arial" w:hAnsi="Arial" w:cs="Arial"/>
          <w:szCs w:val="24"/>
        </w:rPr>
        <w:t>000 hours during the</w:t>
      </w:r>
      <w:r>
        <w:rPr>
          <w:rFonts w:ascii="Arial" w:hAnsi="Arial" w:cs="Arial"/>
          <w:szCs w:val="24"/>
        </w:rPr>
        <w:t xml:space="preserve"> </w:t>
      </w:r>
      <w:r w:rsidRPr="00001D89">
        <w:rPr>
          <w:rFonts w:ascii="Arial" w:hAnsi="Arial" w:cs="Arial"/>
          <w:szCs w:val="24"/>
        </w:rPr>
        <w:t>Plan Year.</w:t>
      </w:r>
      <w:r>
        <w:rPr>
          <w:rFonts w:ascii="Arial" w:hAnsi="Arial" w:cs="Arial"/>
          <w:szCs w:val="24"/>
        </w:rPr>
        <w:t xml:space="preserve">  The plan year is defined as including the pay periods paid in the calendar year each year beginning January 1 and ending December 31.</w:t>
      </w:r>
    </w:p>
    <w:p w:rsidR="00294881" w:rsidRDefault="00294881" w:rsidP="00294881">
      <w:pPr>
        <w:autoSpaceDE w:val="0"/>
        <w:autoSpaceDN w:val="0"/>
        <w:adjustRightInd w:val="0"/>
        <w:rPr>
          <w:rFonts w:ascii="Arial" w:hAnsi="Arial" w:cs="Arial"/>
          <w:szCs w:val="24"/>
        </w:rPr>
      </w:pPr>
      <w:r>
        <w:rPr>
          <w:rFonts w:ascii="Arial" w:hAnsi="Arial" w:cs="Arial"/>
          <w:szCs w:val="24"/>
        </w:rPr>
        <w:t xml:space="preserve">*You </w:t>
      </w:r>
      <w:r w:rsidRPr="00001D89">
        <w:rPr>
          <w:rFonts w:ascii="Arial" w:hAnsi="Arial" w:cs="Arial"/>
          <w:szCs w:val="24"/>
        </w:rPr>
        <w:t>will be able to defer a portion of your pay into the Plan on the first day of the quarter on or after the</w:t>
      </w:r>
      <w:r>
        <w:rPr>
          <w:rFonts w:ascii="Arial" w:hAnsi="Arial" w:cs="Arial"/>
          <w:szCs w:val="24"/>
        </w:rPr>
        <w:t xml:space="preserve"> </w:t>
      </w:r>
      <w:r w:rsidRPr="00001D89">
        <w:rPr>
          <w:rFonts w:ascii="Arial" w:hAnsi="Arial" w:cs="Arial"/>
          <w:szCs w:val="24"/>
        </w:rPr>
        <w:t>day you have met all the age and service requirements.</w:t>
      </w:r>
    </w:p>
    <w:p w:rsidR="00294881" w:rsidRPr="00001D89" w:rsidRDefault="00294881" w:rsidP="00294881">
      <w:pPr>
        <w:autoSpaceDE w:val="0"/>
        <w:autoSpaceDN w:val="0"/>
        <w:adjustRightInd w:val="0"/>
        <w:rPr>
          <w:rFonts w:ascii="Arial" w:hAnsi="Arial" w:cs="Arial"/>
          <w:szCs w:val="24"/>
        </w:rPr>
      </w:pPr>
      <w:proofErr w:type="gramStart"/>
      <w:r>
        <w:rPr>
          <w:rFonts w:ascii="Arial" w:hAnsi="Arial" w:cs="Arial"/>
          <w:szCs w:val="24"/>
        </w:rPr>
        <w:t>*  If</w:t>
      </w:r>
      <w:proofErr w:type="gramEnd"/>
      <w:r>
        <w:rPr>
          <w:rFonts w:ascii="Arial" w:hAnsi="Arial" w:cs="Arial"/>
          <w:szCs w:val="24"/>
        </w:rPr>
        <w:t xml:space="preserve"> you are rehired and previously met the requirements, you are eligible to participate immediately upon rehire.</w:t>
      </w:r>
    </w:p>
    <w:p w:rsidR="00294881" w:rsidRDefault="00294881" w:rsidP="00294881">
      <w:pPr>
        <w:rPr>
          <w:rFonts w:ascii="Arial" w:hAnsi="Arial"/>
          <w:b/>
          <w:color w:val="000000"/>
        </w:rPr>
      </w:pPr>
    </w:p>
    <w:p w:rsidR="00294881" w:rsidRDefault="00294881" w:rsidP="007A77B4">
      <w:pPr>
        <w:pStyle w:val="Heading3"/>
      </w:pPr>
      <w:r>
        <w:t>Salary Deferral Contributions</w:t>
      </w:r>
    </w:p>
    <w:p w:rsidR="00294881" w:rsidRDefault="00294881" w:rsidP="00294881">
      <w:pPr>
        <w:rPr>
          <w:rFonts w:ascii="Arial" w:hAnsi="Arial"/>
          <w:color w:val="000000"/>
        </w:rPr>
      </w:pPr>
      <w:r>
        <w:rPr>
          <w:rFonts w:ascii="Arial" w:hAnsi="Arial"/>
        </w:rPr>
        <w:t xml:space="preserve">You may elect to defer a percentage of your pay each pay period.  </w:t>
      </w:r>
      <w:r>
        <w:rPr>
          <w:rFonts w:ascii="Arial" w:hAnsi="Arial"/>
          <w:spacing w:val="4"/>
        </w:rPr>
        <w:t>This plan allows you to defer</w:t>
      </w:r>
      <w:r w:rsidR="00C50872">
        <w:rPr>
          <w:rFonts w:ascii="Arial" w:hAnsi="Arial"/>
          <w:spacing w:val="4"/>
        </w:rPr>
        <w:t xml:space="preserve"> up to</w:t>
      </w:r>
      <w:r>
        <w:rPr>
          <w:rFonts w:ascii="Arial" w:hAnsi="Arial"/>
          <w:spacing w:val="4"/>
        </w:rPr>
        <w:t xml:space="preserve"> </w:t>
      </w:r>
      <w:r>
        <w:rPr>
          <w:rFonts w:ascii="Arial" w:hAnsi="Arial"/>
        </w:rPr>
        <w:t>100</w:t>
      </w:r>
      <w:r>
        <w:rPr>
          <w:rFonts w:ascii="Arial" w:hAnsi="Arial"/>
          <w:color w:val="000000"/>
        </w:rPr>
        <w:t xml:space="preserve">% of your pay.  </w:t>
      </w:r>
    </w:p>
    <w:p w:rsidR="00294881" w:rsidRDefault="00294881" w:rsidP="00294881">
      <w:pPr>
        <w:rPr>
          <w:rFonts w:ascii="Arial" w:hAnsi="Arial"/>
          <w:color w:val="000000"/>
        </w:rPr>
      </w:pPr>
    </w:p>
    <w:p w:rsidR="00294881" w:rsidRDefault="00294881" w:rsidP="00294881">
      <w:pPr>
        <w:rPr>
          <w:rFonts w:ascii="Arial" w:hAnsi="Arial"/>
          <w:color w:val="000000"/>
        </w:rPr>
      </w:pPr>
      <w:r>
        <w:rPr>
          <w:rFonts w:ascii="Arial" w:hAnsi="Arial"/>
          <w:color w:val="000000"/>
        </w:rPr>
        <w:t xml:space="preserve">In the absence of a salary deferral election form you will be automatically enrolled in the plan at the salary deferral percentage specified below after you have met the eligibility and entry requirements. </w:t>
      </w:r>
    </w:p>
    <w:p w:rsidR="00294881" w:rsidRDefault="00294881" w:rsidP="00294881">
      <w:pPr>
        <w:rPr>
          <w:rFonts w:ascii="Arial" w:hAnsi="Arial"/>
          <w:color w:val="000000"/>
        </w:rPr>
      </w:pPr>
    </w:p>
    <w:p w:rsidR="00294881" w:rsidRDefault="00294881" w:rsidP="00294881">
      <w:pPr>
        <w:rPr>
          <w:rFonts w:ascii="Arial" w:hAnsi="Arial"/>
          <w:color w:val="000000"/>
        </w:rPr>
      </w:pPr>
      <w:r>
        <w:rPr>
          <w:rFonts w:ascii="Arial" w:hAnsi="Arial"/>
          <w:color w:val="000000"/>
        </w:rPr>
        <w:t>The automatic salary deferral percentage is 2% of pay, escalating 1% at the beginning of each plan year until you reach 6% salary deferral.</w:t>
      </w:r>
    </w:p>
    <w:p w:rsidR="00294881" w:rsidRDefault="00294881" w:rsidP="00294881">
      <w:pPr>
        <w:rPr>
          <w:rFonts w:ascii="Arial" w:hAnsi="Arial"/>
          <w:color w:val="000000"/>
        </w:rPr>
      </w:pPr>
    </w:p>
    <w:p w:rsidR="00294881" w:rsidRPr="001E5DD8" w:rsidRDefault="00294881" w:rsidP="00294881">
      <w:pPr>
        <w:rPr>
          <w:rFonts w:ascii="Arial" w:hAnsi="Arial" w:cs="Arial"/>
        </w:rPr>
      </w:pPr>
      <w:r>
        <w:rPr>
          <w:rFonts w:ascii="Arial" w:hAnsi="Arial"/>
          <w:color w:val="000000"/>
        </w:rPr>
        <w:t>If you do not wish to be automatically enrolled, you may elect not to defer or to defer another percentage.  If you affirmatively elect to make salary deferral contributions or if you are automatically enrolled and you do not provide direction as to how contributions made on your behalf should be directed, then the contributions will be directed to the default investment options specified in the Summary Plan Description in accordance with the plan.</w:t>
      </w:r>
    </w:p>
    <w:p w:rsidR="00294881" w:rsidRDefault="00294881" w:rsidP="00294881">
      <w:pPr>
        <w:rPr>
          <w:rFonts w:ascii="Arial" w:hAnsi="Arial"/>
          <w:i/>
          <w:color w:val="000000"/>
        </w:rPr>
      </w:pPr>
    </w:p>
    <w:p w:rsidR="007A77B4" w:rsidRDefault="00294881" w:rsidP="00294881">
      <w:pPr>
        <w:rPr>
          <w:rFonts w:ascii="Arial" w:hAnsi="Arial"/>
        </w:rPr>
      </w:pPr>
      <w:r>
        <w:rPr>
          <w:rFonts w:ascii="Arial" w:hAnsi="Arial"/>
        </w:rPr>
        <w:t xml:space="preserve">You can enter into an agreement to change your salary deferral contribution on any date.  You will need to complete and sign the salary deferral agreement or complete an election online, if applicable, before the date on which it is effective.  Once an </w:t>
      </w:r>
    </w:p>
    <w:p w:rsidR="007A77B4" w:rsidRDefault="007A77B4" w:rsidP="00294881">
      <w:pPr>
        <w:rPr>
          <w:rFonts w:ascii="Arial" w:hAnsi="Arial"/>
        </w:rPr>
      </w:pPr>
    </w:p>
    <w:p w:rsidR="007A77B4" w:rsidRDefault="007A77B4" w:rsidP="00294881">
      <w:pPr>
        <w:rPr>
          <w:rFonts w:ascii="Arial" w:hAnsi="Arial"/>
        </w:rPr>
      </w:pPr>
    </w:p>
    <w:p w:rsidR="00294881" w:rsidRDefault="00294881" w:rsidP="00294881">
      <w:pPr>
        <w:rPr>
          <w:rFonts w:ascii="Arial" w:hAnsi="Arial"/>
        </w:rPr>
      </w:pPr>
      <w:proofErr w:type="gramStart"/>
      <w:r>
        <w:rPr>
          <w:rFonts w:ascii="Arial" w:hAnsi="Arial"/>
        </w:rPr>
        <w:t>agreement</w:t>
      </w:r>
      <w:proofErr w:type="gramEnd"/>
      <w:r>
        <w:rPr>
          <w:rFonts w:ascii="Arial" w:hAnsi="Arial"/>
        </w:rPr>
        <w:t xml:space="preserve"> (affirmative or automatic) is in effect, salary deferrals will be payroll deducted from your future paychecks.  You can terminate your agreement at any time.</w:t>
      </w:r>
    </w:p>
    <w:p w:rsidR="00294881" w:rsidRDefault="00294881" w:rsidP="00294881">
      <w:pPr>
        <w:rPr>
          <w:rFonts w:ascii="Arial" w:hAnsi="Arial"/>
        </w:rPr>
      </w:pPr>
    </w:p>
    <w:p w:rsidR="00294881" w:rsidRDefault="00294881" w:rsidP="00294881">
      <w:pPr>
        <w:rPr>
          <w:rFonts w:ascii="Arial" w:hAnsi="Arial"/>
          <w:i/>
        </w:rPr>
      </w:pPr>
      <w:r>
        <w:rPr>
          <w:rFonts w:ascii="Arial" w:hAnsi="Arial"/>
        </w:rPr>
        <w:t>Internal Revenue Service (IRS) regulations or the retirement plan may limit the annual amount of your salary deferral contributions.  If you meet a salary deferral contribution limit, you may continue to defer up to the catch-up contribution limit if you are eligible to defer catch-up contributions (you must be age 50 or older by the end of the current calendar year</w:t>
      </w:r>
      <w:r>
        <w:rPr>
          <w:rFonts w:ascii="Arial" w:hAnsi="Arial"/>
          <w:i/>
        </w:rPr>
        <w:t xml:space="preserve">).  </w:t>
      </w:r>
    </w:p>
    <w:p w:rsidR="00294881" w:rsidRPr="002428B2" w:rsidRDefault="00294881" w:rsidP="00294881">
      <w:pPr>
        <w:rPr>
          <w:rFonts w:ascii="Arial" w:hAnsi="Arial"/>
        </w:rPr>
      </w:pPr>
    </w:p>
    <w:p w:rsidR="00294881" w:rsidRPr="007A77B4" w:rsidRDefault="00294881" w:rsidP="007A77B4">
      <w:pPr>
        <w:pStyle w:val="Heading3"/>
      </w:pPr>
      <w:r>
        <w:t>Salary Deferral Options:</w:t>
      </w:r>
    </w:p>
    <w:p w:rsidR="00294881" w:rsidRPr="002428B2" w:rsidRDefault="00294881" w:rsidP="00294881">
      <w:pPr>
        <w:rPr>
          <w:rFonts w:ascii="Arial" w:hAnsi="Arial" w:cs="Arial"/>
        </w:rPr>
      </w:pPr>
      <w:r w:rsidRPr="002428B2">
        <w:rPr>
          <w:rFonts w:ascii="Arial" w:hAnsi="Arial" w:cs="Arial"/>
        </w:rPr>
        <w:t>You can elect to have your contributions treated as traditional pre-tax contributions, or you can elect to have the contributions made as Roth deferrals in which case they are not treated as per-tax contributions.  You should consult your personal tax advisor for help determining which option would work best for you.</w:t>
      </w:r>
    </w:p>
    <w:p w:rsidR="00294881" w:rsidRDefault="00294881" w:rsidP="00294881">
      <w:pPr>
        <w:rPr>
          <w:rFonts w:ascii="Arial" w:hAnsi="Arial"/>
          <w:b/>
        </w:rPr>
      </w:pPr>
    </w:p>
    <w:p w:rsidR="00294881" w:rsidRPr="007A77B4" w:rsidRDefault="00294881" w:rsidP="007A77B4">
      <w:pPr>
        <w:rPr>
          <w:rFonts w:ascii="Arial" w:hAnsi="Arial"/>
          <w:b/>
        </w:rPr>
      </w:pPr>
      <w:r>
        <w:rPr>
          <w:rFonts w:ascii="Arial" w:hAnsi="Arial"/>
          <w:b/>
        </w:rPr>
        <w:t xml:space="preserve">Pay </w:t>
      </w:r>
    </w:p>
    <w:p w:rsidR="00294881" w:rsidRDefault="00294881" w:rsidP="00294881">
      <w:pPr>
        <w:rPr>
          <w:rFonts w:ascii="Arial" w:hAnsi="Arial"/>
        </w:rPr>
      </w:pPr>
      <w:r>
        <w:rPr>
          <w:rFonts w:ascii="Arial" w:hAnsi="Arial"/>
        </w:rPr>
        <w:t>Pay is defined under the plan as follows: Wages, Tips and Other Compensation Box on Form W-2, excluding safe harbor fringe benefits.</w:t>
      </w:r>
    </w:p>
    <w:p w:rsidR="00294881" w:rsidRDefault="00294881" w:rsidP="00294881">
      <w:pPr>
        <w:ind w:left="720"/>
        <w:rPr>
          <w:rFonts w:ascii="Arial" w:hAnsi="Arial"/>
        </w:rPr>
      </w:pPr>
    </w:p>
    <w:p w:rsidR="00294881" w:rsidRDefault="00294881" w:rsidP="00294881">
      <w:pPr>
        <w:rPr>
          <w:rFonts w:ascii="Arial" w:hAnsi="Arial"/>
        </w:rPr>
      </w:pPr>
      <w:r>
        <w:rPr>
          <w:rFonts w:ascii="Arial" w:hAnsi="Arial"/>
        </w:rPr>
        <w:t>Safe harbor fringe benefits are reimbursements or other expense allowances, fringe benefits (cash or non-cash) moving expenses, deferred compensation (other than elective contributions), and welfare benefits.</w:t>
      </w:r>
    </w:p>
    <w:p w:rsidR="00294881" w:rsidRDefault="00294881" w:rsidP="00294881">
      <w:pPr>
        <w:pStyle w:val="Heading4"/>
      </w:pPr>
    </w:p>
    <w:p w:rsidR="00294881" w:rsidRDefault="00294881" w:rsidP="007A77B4">
      <w:pPr>
        <w:pStyle w:val="Heading4"/>
      </w:pPr>
      <w:r>
        <w:t>Discretionary Contributions</w:t>
      </w:r>
    </w:p>
    <w:p w:rsidR="007A77B4" w:rsidRPr="007A77B4" w:rsidRDefault="007A77B4" w:rsidP="007A77B4"/>
    <w:p w:rsidR="00294881" w:rsidRDefault="00294881" w:rsidP="00294881">
      <w:pPr>
        <w:numPr>
          <w:ilvl w:val="0"/>
          <w:numId w:val="5"/>
        </w:numPr>
        <w:rPr>
          <w:rFonts w:ascii="Arial" w:hAnsi="Arial"/>
        </w:rPr>
      </w:pPr>
      <w:r>
        <w:rPr>
          <w:rFonts w:ascii="Arial" w:hAnsi="Arial"/>
        </w:rPr>
        <w:t>Matching Contribution</w:t>
      </w:r>
    </w:p>
    <w:p w:rsidR="00294881" w:rsidRDefault="00294881" w:rsidP="00294881">
      <w:pPr>
        <w:ind w:left="360"/>
        <w:rPr>
          <w:rFonts w:ascii="Arial" w:hAnsi="Arial"/>
        </w:rPr>
      </w:pPr>
      <w:r>
        <w:rPr>
          <w:rFonts w:ascii="Arial" w:hAnsi="Arial"/>
        </w:rPr>
        <w:t>ISAAC’S DELI, INC. may make a discretionary matching contribution for you as of each pay period if you are an eligible employee.  Discretionary means we choose the amount of the contribution and whether or not it will be made.  You are an eligible employee if you are active at any time during the plan year.</w:t>
      </w:r>
    </w:p>
    <w:p w:rsidR="00294881" w:rsidRDefault="00294881" w:rsidP="00294881">
      <w:pPr>
        <w:ind w:left="360"/>
        <w:rPr>
          <w:rFonts w:ascii="Arial" w:hAnsi="Arial"/>
        </w:rPr>
      </w:pPr>
    </w:p>
    <w:p w:rsidR="00294881" w:rsidRDefault="00294881" w:rsidP="00294881">
      <w:pPr>
        <w:numPr>
          <w:ilvl w:val="0"/>
          <w:numId w:val="5"/>
        </w:numPr>
        <w:rPr>
          <w:rFonts w:ascii="Arial" w:hAnsi="Arial"/>
        </w:rPr>
      </w:pPr>
      <w:r>
        <w:rPr>
          <w:rFonts w:ascii="Arial" w:hAnsi="Arial"/>
        </w:rPr>
        <w:t>Additional Contribution</w:t>
      </w:r>
    </w:p>
    <w:p w:rsidR="00294881" w:rsidRDefault="00294881" w:rsidP="00294881">
      <w:pPr>
        <w:ind w:left="360"/>
        <w:rPr>
          <w:rFonts w:ascii="Arial" w:hAnsi="Arial"/>
        </w:rPr>
      </w:pPr>
      <w:r>
        <w:rPr>
          <w:rFonts w:ascii="Arial" w:hAnsi="Arial"/>
        </w:rPr>
        <w:t>ISAAC’S DELI, INC. may make a discretionary contribution for you at the end of the plan year if you are an eligible employee.  Discretionary means we choose the amount of the contribution and whether or not it will be made.  You are an eligible employee if you are active on the last day of the plan year.</w:t>
      </w:r>
    </w:p>
    <w:p w:rsidR="007A77B4" w:rsidRDefault="007A77B4" w:rsidP="00294881">
      <w:pPr>
        <w:rPr>
          <w:rFonts w:ascii="Arial" w:hAnsi="Arial"/>
          <w:b/>
        </w:rPr>
      </w:pPr>
    </w:p>
    <w:p w:rsidR="00294881" w:rsidRPr="007A77B4" w:rsidRDefault="00294881" w:rsidP="00294881">
      <w:pPr>
        <w:rPr>
          <w:rFonts w:ascii="Arial" w:hAnsi="Arial"/>
          <w:b/>
        </w:rPr>
      </w:pPr>
      <w:r>
        <w:rPr>
          <w:rFonts w:ascii="Arial" w:hAnsi="Arial"/>
          <w:b/>
        </w:rPr>
        <w:t>Vesting</w:t>
      </w:r>
    </w:p>
    <w:p w:rsidR="00294881" w:rsidRDefault="00294881" w:rsidP="00294881">
      <w:pPr>
        <w:rPr>
          <w:rFonts w:ascii="Arial" w:hAnsi="Arial"/>
        </w:rPr>
      </w:pPr>
      <w:r>
        <w:rPr>
          <w:rFonts w:ascii="Arial" w:hAnsi="Arial"/>
        </w:rPr>
        <w:t>You are always 100% vested in the part of the account resulting from the following:</w:t>
      </w:r>
    </w:p>
    <w:p w:rsidR="00294881" w:rsidRDefault="00294881" w:rsidP="00294881">
      <w:pPr>
        <w:numPr>
          <w:ilvl w:val="0"/>
          <w:numId w:val="2"/>
        </w:numPr>
        <w:rPr>
          <w:rFonts w:ascii="Arial" w:hAnsi="Arial"/>
        </w:rPr>
      </w:pPr>
      <w:r>
        <w:rPr>
          <w:rFonts w:ascii="Arial" w:hAnsi="Arial"/>
        </w:rPr>
        <w:t>Salary Deferral Contributions</w:t>
      </w:r>
    </w:p>
    <w:p w:rsidR="00294881" w:rsidRDefault="00294881" w:rsidP="00294881">
      <w:pPr>
        <w:rPr>
          <w:rFonts w:ascii="Arial" w:hAnsi="Arial"/>
        </w:rPr>
      </w:pPr>
    </w:p>
    <w:p w:rsidR="00294881" w:rsidRDefault="00294881" w:rsidP="00294881">
      <w:pPr>
        <w:rPr>
          <w:rFonts w:ascii="Arial" w:hAnsi="Arial"/>
        </w:rPr>
      </w:pPr>
      <w:r>
        <w:rPr>
          <w:rFonts w:ascii="Arial" w:hAnsi="Arial"/>
        </w:rPr>
        <w:t>The schedule below determines your vesting percentage of the account the plan holds for your benefit for the following contributions:</w:t>
      </w:r>
    </w:p>
    <w:p w:rsidR="00294881" w:rsidRDefault="00294881" w:rsidP="00294881">
      <w:pPr>
        <w:numPr>
          <w:ilvl w:val="0"/>
          <w:numId w:val="3"/>
        </w:numPr>
        <w:rPr>
          <w:rFonts w:ascii="Arial" w:hAnsi="Arial"/>
        </w:rPr>
      </w:pPr>
      <w:r>
        <w:rPr>
          <w:rFonts w:ascii="Arial" w:hAnsi="Arial"/>
        </w:rPr>
        <w:t>Matching Contributions</w:t>
      </w:r>
    </w:p>
    <w:p w:rsidR="00294881" w:rsidRDefault="00294881" w:rsidP="00294881">
      <w:pPr>
        <w:numPr>
          <w:ilvl w:val="0"/>
          <w:numId w:val="3"/>
        </w:numPr>
        <w:rPr>
          <w:rFonts w:ascii="Arial" w:hAnsi="Arial"/>
        </w:rPr>
      </w:pPr>
      <w:r>
        <w:rPr>
          <w:rFonts w:ascii="Arial" w:hAnsi="Arial"/>
        </w:rPr>
        <w:lastRenderedPageBreak/>
        <w:t>Discretionary Contributions</w:t>
      </w:r>
    </w:p>
    <w:p w:rsidR="00294881" w:rsidRDefault="00294881" w:rsidP="00294881">
      <w:pPr>
        <w:rPr>
          <w:rFonts w:ascii="Arial" w:hAnsi="Arial"/>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412"/>
        <w:gridCol w:w="2088"/>
      </w:tblGrid>
      <w:tr w:rsidR="00294881" w:rsidTr="00B4493C">
        <w:tc>
          <w:tcPr>
            <w:tcW w:w="2412" w:type="dxa"/>
          </w:tcPr>
          <w:p w:rsidR="00294881" w:rsidRDefault="00294881" w:rsidP="00B4493C">
            <w:pPr>
              <w:jc w:val="center"/>
              <w:rPr>
                <w:rFonts w:ascii="Arial" w:hAnsi="Arial"/>
              </w:rPr>
            </w:pPr>
            <w:r>
              <w:rPr>
                <w:rFonts w:ascii="Arial" w:hAnsi="Arial"/>
              </w:rPr>
              <w:t>Years of Vesting Service</w:t>
            </w:r>
          </w:p>
        </w:tc>
        <w:tc>
          <w:tcPr>
            <w:tcW w:w="2088" w:type="dxa"/>
          </w:tcPr>
          <w:p w:rsidR="00294881" w:rsidRDefault="00294881" w:rsidP="00B4493C">
            <w:pPr>
              <w:jc w:val="center"/>
              <w:rPr>
                <w:rFonts w:ascii="Arial" w:hAnsi="Arial"/>
              </w:rPr>
            </w:pPr>
            <w:r>
              <w:rPr>
                <w:rFonts w:ascii="Arial" w:hAnsi="Arial"/>
              </w:rPr>
              <w:t>Vesting Percentage</w:t>
            </w:r>
          </w:p>
        </w:tc>
      </w:tr>
      <w:tr w:rsidR="00294881" w:rsidTr="00B4493C">
        <w:tc>
          <w:tcPr>
            <w:tcW w:w="2412" w:type="dxa"/>
          </w:tcPr>
          <w:p w:rsidR="00294881" w:rsidRDefault="00294881" w:rsidP="00B4493C">
            <w:pPr>
              <w:jc w:val="center"/>
              <w:rPr>
                <w:rFonts w:ascii="Arial" w:hAnsi="Arial"/>
              </w:rPr>
            </w:pPr>
            <w:r>
              <w:rPr>
                <w:rFonts w:ascii="Arial" w:hAnsi="Arial"/>
              </w:rPr>
              <w:t>Less than 1</w:t>
            </w:r>
          </w:p>
        </w:tc>
        <w:tc>
          <w:tcPr>
            <w:tcW w:w="2088" w:type="dxa"/>
          </w:tcPr>
          <w:p w:rsidR="00294881" w:rsidRDefault="00294881" w:rsidP="00B4493C">
            <w:pPr>
              <w:jc w:val="center"/>
              <w:rPr>
                <w:rFonts w:ascii="Arial" w:hAnsi="Arial"/>
              </w:rPr>
            </w:pPr>
            <w:r>
              <w:rPr>
                <w:rFonts w:ascii="Arial" w:hAnsi="Arial"/>
              </w:rPr>
              <w:t>0%</w:t>
            </w:r>
          </w:p>
        </w:tc>
      </w:tr>
      <w:tr w:rsidR="00294881" w:rsidTr="00B4493C">
        <w:tc>
          <w:tcPr>
            <w:tcW w:w="2412" w:type="dxa"/>
          </w:tcPr>
          <w:p w:rsidR="00294881" w:rsidRDefault="00294881" w:rsidP="00B4493C">
            <w:pPr>
              <w:jc w:val="center"/>
              <w:rPr>
                <w:rFonts w:ascii="Arial" w:hAnsi="Arial"/>
              </w:rPr>
            </w:pPr>
            <w:r>
              <w:rPr>
                <w:rFonts w:ascii="Arial" w:hAnsi="Arial"/>
              </w:rPr>
              <w:t>1</w:t>
            </w:r>
          </w:p>
        </w:tc>
        <w:tc>
          <w:tcPr>
            <w:tcW w:w="2088" w:type="dxa"/>
          </w:tcPr>
          <w:p w:rsidR="00294881" w:rsidRDefault="00294881" w:rsidP="00B4493C">
            <w:pPr>
              <w:jc w:val="center"/>
              <w:rPr>
                <w:rFonts w:ascii="Arial" w:hAnsi="Arial"/>
              </w:rPr>
            </w:pPr>
            <w:r>
              <w:rPr>
                <w:rFonts w:ascii="Arial" w:hAnsi="Arial"/>
              </w:rPr>
              <w:t>0%</w:t>
            </w:r>
          </w:p>
        </w:tc>
      </w:tr>
      <w:tr w:rsidR="00294881" w:rsidTr="00B4493C">
        <w:tc>
          <w:tcPr>
            <w:tcW w:w="2412" w:type="dxa"/>
          </w:tcPr>
          <w:p w:rsidR="00294881" w:rsidRDefault="00294881" w:rsidP="00B4493C">
            <w:pPr>
              <w:jc w:val="center"/>
              <w:rPr>
                <w:rFonts w:ascii="Arial" w:hAnsi="Arial"/>
              </w:rPr>
            </w:pPr>
            <w:r>
              <w:rPr>
                <w:rFonts w:ascii="Arial" w:hAnsi="Arial"/>
              </w:rPr>
              <w:t>2</w:t>
            </w:r>
          </w:p>
        </w:tc>
        <w:tc>
          <w:tcPr>
            <w:tcW w:w="2088" w:type="dxa"/>
          </w:tcPr>
          <w:p w:rsidR="00294881" w:rsidRDefault="00294881" w:rsidP="00B4493C">
            <w:pPr>
              <w:jc w:val="center"/>
              <w:rPr>
                <w:rFonts w:ascii="Arial" w:hAnsi="Arial"/>
              </w:rPr>
            </w:pPr>
            <w:r>
              <w:rPr>
                <w:rFonts w:ascii="Arial" w:hAnsi="Arial"/>
              </w:rPr>
              <w:t>20%</w:t>
            </w:r>
          </w:p>
        </w:tc>
      </w:tr>
      <w:tr w:rsidR="00294881" w:rsidTr="00B4493C">
        <w:tc>
          <w:tcPr>
            <w:tcW w:w="2412" w:type="dxa"/>
          </w:tcPr>
          <w:p w:rsidR="00294881" w:rsidRDefault="00294881" w:rsidP="00B4493C">
            <w:pPr>
              <w:jc w:val="center"/>
              <w:rPr>
                <w:rFonts w:ascii="Arial" w:hAnsi="Arial"/>
              </w:rPr>
            </w:pPr>
            <w:r>
              <w:rPr>
                <w:rFonts w:ascii="Arial" w:hAnsi="Arial"/>
              </w:rPr>
              <w:t>3</w:t>
            </w:r>
          </w:p>
        </w:tc>
        <w:tc>
          <w:tcPr>
            <w:tcW w:w="2088" w:type="dxa"/>
          </w:tcPr>
          <w:p w:rsidR="00294881" w:rsidRDefault="00294881" w:rsidP="00B4493C">
            <w:pPr>
              <w:jc w:val="center"/>
              <w:rPr>
                <w:rFonts w:ascii="Arial" w:hAnsi="Arial"/>
              </w:rPr>
            </w:pPr>
            <w:r>
              <w:rPr>
                <w:rFonts w:ascii="Arial" w:hAnsi="Arial"/>
              </w:rPr>
              <w:t>40%</w:t>
            </w:r>
          </w:p>
        </w:tc>
      </w:tr>
      <w:tr w:rsidR="00294881" w:rsidTr="00B4493C">
        <w:tc>
          <w:tcPr>
            <w:tcW w:w="2412" w:type="dxa"/>
          </w:tcPr>
          <w:p w:rsidR="00294881" w:rsidRDefault="00294881" w:rsidP="00B4493C">
            <w:pPr>
              <w:jc w:val="center"/>
              <w:rPr>
                <w:rFonts w:ascii="Arial" w:hAnsi="Arial"/>
              </w:rPr>
            </w:pPr>
            <w:r>
              <w:rPr>
                <w:rFonts w:ascii="Arial" w:hAnsi="Arial"/>
              </w:rPr>
              <w:t>4</w:t>
            </w:r>
          </w:p>
        </w:tc>
        <w:tc>
          <w:tcPr>
            <w:tcW w:w="2088" w:type="dxa"/>
          </w:tcPr>
          <w:p w:rsidR="00294881" w:rsidRDefault="00294881" w:rsidP="00B4493C">
            <w:pPr>
              <w:jc w:val="center"/>
              <w:rPr>
                <w:rFonts w:ascii="Arial" w:hAnsi="Arial"/>
              </w:rPr>
            </w:pPr>
            <w:r>
              <w:rPr>
                <w:rFonts w:ascii="Arial" w:hAnsi="Arial"/>
              </w:rPr>
              <w:t>60%</w:t>
            </w:r>
          </w:p>
        </w:tc>
      </w:tr>
      <w:tr w:rsidR="00294881" w:rsidTr="00B4493C">
        <w:tc>
          <w:tcPr>
            <w:tcW w:w="2412" w:type="dxa"/>
          </w:tcPr>
          <w:p w:rsidR="00294881" w:rsidRDefault="00294881" w:rsidP="00B4493C">
            <w:pPr>
              <w:jc w:val="center"/>
              <w:rPr>
                <w:rFonts w:ascii="Arial" w:hAnsi="Arial"/>
              </w:rPr>
            </w:pPr>
            <w:r>
              <w:rPr>
                <w:rFonts w:ascii="Arial" w:hAnsi="Arial"/>
              </w:rPr>
              <w:t>5</w:t>
            </w:r>
          </w:p>
        </w:tc>
        <w:tc>
          <w:tcPr>
            <w:tcW w:w="2088" w:type="dxa"/>
          </w:tcPr>
          <w:p w:rsidR="00294881" w:rsidRDefault="00294881" w:rsidP="00B4493C">
            <w:pPr>
              <w:jc w:val="center"/>
              <w:rPr>
                <w:rFonts w:ascii="Arial" w:hAnsi="Arial"/>
              </w:rPr>
            </w:pPr>
            <w:r>
              <w:rPr>
                <w:rFonts w:ascii="Arial" w:hAnsi="Arial"/>
              </w:rPr>
              <w:t>80%</w:t>
            </w:r>
          </w:p>
        </w:tc>
      </w:tr>
      <w:tr w:rsidR="00294881" w:rsidTr="00B4493C">
        <w:tc>
          <w:tcPr>
            <w:tcW w:w="2412" w:type="dxa"/>
          </w:tcPr>
          <w:p w:rsidR="00294881" w:rsidRDefault="00294881" w:rsidP="00B4493C">
            <w:pPr>
              <w:jc w:val="center"/>
              <w:rPr>
                <w:rFonts w:ascii="Arial" w:hAnsi="Arial"/>
              </w:rPr>
            </w:pPr>
            <w:r>
              <w:rPr>
                <w:rFonts w:ascii="Arial" w:hAnsi="Arial"/>
              </w:rPr>
              <w:t>6</w:t>
            </w:r>
          </w:p>
        </w:tc>
        <w:tc>
          <w:tcPr>
            <w:tcW w:w="2088" w:type="dxa"/>
          </w:tcPr>
          <w:p w:rsidR="00294881" w:rsidRDefault="00294881" w:rsidP="00B4493C">
            <w:pPr>
              <w:jc w:val="center"/>
              <w:rPr>
                <w:rFonts w:ascii="Arial" w:hAnsi="Arial"/>
              </w:rPr>
            </w:pPr>
            <w:r>
              <w:rPr>
                <w:rFonts w:ascii="Arial" w:hAnsi="Arial"/>
              </w:rPr>
              <w:t>100%</w:t>
            </w:r>
          </w:p>
        </w:tc>
      </w:tr>
    </w:tbl>
    <w:p w:rsidR="00294881" w:rsidRDefault="00294881" w:rsidP="00294881">
      <w:pPr>
        <w:pStyle w:val="Heading4"/>
      </w:pPr>
    </w:p>
    <w:p w:rsidR="00294881" w:rsidRPr="00635488" w:rsidRDefault="00294881" w:rsidP="00294881"/>
    <w:p w:rsidR="00294881" w:rsidRDefault="00294881" w:rsidP="007A77B4">
      <w:pPr>
        <w:pStyle w:val="Heading4"/>
      </w:pPr>
      <w:r>
        <w:t>Withdrawal Provisions</w:t>
      </w:r>
      <w:r>
        <w:rPr>
          <w:i/>
        </w:rPr>
        <w:t xml:space="preserve"> </w:t>
      </w:r>
    </w:p>
    <w:p w:rsidR="00294881" w:rsidRDefault="00294881" w:rsidP="00294881">
      <w:pPr>
        <w:rPr>
          <w:rFonts w:ascii="Arial" w:hAnsi="Arial"/>
        </w:rPr>
      </w:pPr>
      <w:r>
        <w:rPr>
          <w:rFonts w:ascii="Arial" w:hAnsi="Arial"/>
        </w:rPr>
        <w:t xml:space="preserve">If you have a financial hardship, you may be able to withdraw all or any part of the vested account resulting from the following: </w:t>
      </w:r>
    </w:p>
    <w:p w:rsidR="00294881" w:rsidRDefault="00294881" w:rsidP="00294881">
      <w:pPr>
        <w:numPr>
          <w:ilvl w:val="0"/>
          <w:numId w:val="4"/>
        </w:numPr>
        <w:rPr>
          <w:rFonts w:ascii="Arial" w:hAnsi="Arial"/>
        </w:rPr>
      </w:pPr>
      <w:r>
        <w:rPr>
          <w:rFonts w:ascii="Arial" w:hAnsi="Arial"/>
        </w:rPr>
        <w:t>Salary Deferral Contributions (but none of the income earned on such contributions [since December 31, 1988])</w:t>
      </w:r>
    </w:p>
    <w:p w:rsidR="00294881" w:rsidRDefault="00294881" w:rsidP="00294881">
      <w:pPr>
        <w:numPr>
          <w:ilvl w:val="0"/>
          <w:numId w:val="4"/>
        </w:numPr>
        <w:rPr>
          <w:rFonts w:ascii="Arial" w:hAnsi="Arial"/>
        </w:rPr>
      </w:pPr>
      <w:r>
        <w:rPr>
          <w:rFonts w:ascii="Arial" w:hAnsi="Arial"/>
        </w:rPr>
        <w:t>Matching Contributions</w:t>
      </w:r>
    </w:p>
    <w:p w:rsidR="00294881" w:rsidRDefault="00294881" w:rsidP="00294881">
      <w:pPr>
        <w:numPr>
          <w:ilvl w:val="0"/>
          <w:numId w:val="4"/>
        </w:numPr>
        <w:rPr>
          <w:rFonts w:ascii="Arial" w:hAnsi="Arial"/>
        </w:rPr>
      </w:pPr>
      <w:r>
        <w:rPr>
          <w:rFonts w:ascii="Arial" w:hAnsi="Arial"/>
        </w:rPr>
        <w:t>Discretionary Contributions</w:t>
      </w:r>
    </w:p>
    <w:p w:rsidR="00294881" w:rsidRDefault="00294881" w:rsidP="00294881">
      <w:pPr>
        <w:rPr>
          <w:rFonts w:ascii="Arial" w:hAnsi="Arial"/>
        </w:rPr>
      </w:pPr>
    </w:p>
    <w:p w:rsidR="00294881" w:rsidRDefault="00294881" w:rsidP="00294881">
      <w:pPr>
        <w:rPr>
          <w:rFonts w:ascii="Arial" w:hAnsi="Arial"/>
        </w:rPr>
      </w:pPr>
      <w:r>
        <w:rPr>
          <w:rFonts w:ascii="Arial" w:hAnsi="Arial"/>
        </w:rPr>
        <w:t>Note: Salary deferral contributions are suspended for 6 months after a hardship withdrawal is processed.</w:t>
      </w:r>
    </w:p>
    <w:p w:rsidR="00294881" w:rsidRDefault="00294881" w:rsidP="00294881">
      <w:pPr>
        <w:rPr>
          <w:rFonts w:ascii="Arial" w:hAnsi="Arial"/>
          <w:i/>
        </w:rPr>
      </w:pPr>
    </w:p>
    <w:p w:rsidR="00294881" w:rsidRDefault="00294881" w:rsidP="00294881">
      <w:pPr>
        <w:rPr>
          <w:rFonts w:ascii="Arial" w:hAnsi="Arial"/>
        </w:rPr>
      </w:pPr>
      <w:r>
        <w:rPr>
          <w:rFonts w:ascii="Arial" w:hAnsi="Arial"/>
        </w:rPr>
        <w:t xml:space="preserve">You may withdraw any part of your vested account resulting from Rollover Contributions. </w:t>
      </w:r>
    </w:p>
    <w:p w:rsidR="00294881" w:rsidRDefault="00294881" w:rsidP="00294881">
      <w:pPr>
        <w:rPr>
          <w:rFonts w:ascii="Arial" w:hAnsi="Arial"/>
        </w:rPr>
      </w:pPr>
    </w:p>
    <w:p w:rsidR="00294881" w:rsidRPr="007A77B4" w:rsidRDefault="00294881" w:rsidP="007A77B4">
      <w:pPr>
        <w:pStyle w:val="Heading4"/>
      </w:pPr>
      <w:r>
        <w:t>Additional Information</w:t>
      </w:r>
    </w:p>
    <w:p w:rsidR="00294881" w:rsidRDefault="00294881" w:rsidP="00294881">
      <w:pPr>
        <w:rPr>
          <w:rFonts w:ascii="Arial" w:hAnsi="Arial"/>
        </w:rPr>
      </w:pPr>
      <w:r>
        <w:rPr>
          <w:rFonts w:ascii="Arial" w:hAnsi="Arial"/>
        </w:rPr>
        <w:t>For additional information about the retirement plan, please contact:</w:t>
      </w:r>
    </w:p>
    <w:p w:rsidR="00C50872" w:rsidRDefault="00C50872" w:rsidP="00294881">
      <w:pPr>
        <w:rPr>
          <w:rFonts w:ascii="Arial" w:hAnsi="Arial"/>
        </w:rPr>
      </w:pPr>
    </w:p>
    <w:p w:rsidR="00294881" w:rsidRDefault="00294881" w:rsidP="00294881">
      <w:pPr>
        <w:rPr>
          <w:rFonts w:ascii="Arial" w:hAnsi="Arial"/>
        </w:rPr>
      </w:pPr>
      <w:r>
        <w:rPr>
          <w:rFonts w:ascii="Arial" w:hAnsi="Arial"/>
        </w:rPr>
        <w:t xml:space="preserve">Benefits Supervisor </w:t>
      </w:r>
    </w:p>
    <w:p w:rsidR="00294881" w:rsidRDefault="00C50872" w:rsidP="00294881">
      <w:pPr>
        <w:rPr>
          <w:rFonts w:ascii="Arial" w:hAnsi="Arial"/>
        </w:rPr>
      </w:pPr>
      <w:proofErr w:type="gramStart"/>
      <w:r>
        <w:rPr>
          <w:rFonts w:ascii="Arial" w:hAnsi="Arial"/>
        </w:rPr>
        <w:t>Isaac’s Deli, Inc</w:t>
      </w:r>
      <w:r w:rsidR="00294881">
        <w:rPr>
          <w:rFonts w:ascii="Arial" w:hAnsi="Arial"/>
        </w:rPr>
        <w:t>.</w:t>
      </w:r>
      <w:proofErr w:type="gramEnd"/>
      <w:r w:rsidR="00294881">
        <w:rPr>
          <w:rFonts w:ascii="Arial" w:hAnsi="Arial"/>
        </w:rPr>
        <w:t xml:space="preserve">           </w:t>
      </w:r>
    </w:p>
    <w:p w:rsidR="00294881" w:rsidRDefault="00294881" w:rsidP="00294881">
      <w:pPr>
        <w:rPr>
          <w:rFonts w:ascii="Arial" w:hAnsi="Arial"/>
        </w:rPr>
      </w:pPr>
      <w:r>
        <w:rPr>
          <w:rFonts w:ascii="Arial" w:hAnsi="Arial"/>
        </w:rPr>
        <w:t>354 North Prince Street</w:t>
      </w:r>
      <w:r w:rsidR="00C50872">
        <w:rPr>
          <w:rFonts w:ascii="Arial" w:hAnsi="Arial"/>
        </w:rPr>
        <w:t>, Suite 220</w:t>
      </w:r>
      <w:r>
        <w:rPr>
          <w:rFonts w:ascii="Arial" w:hAnsi="Arial"/>
        </w:rPr>
        <w:t xml:space="preserve">   </w:t>
      </w:r>
    </w:p>
    <w:p w:rsidR="00294881" w:rsidRDefault="00294881" w:rsidP="00294881">
      <w:pPr>
        <w:rPr>
          <w:rFonts w:ascii="Arial" w:hAnsi="Arial"/>
        </w:rPr>
      </w:pPr>
      <w:r>
        <w:rPr>
          <w:rFonts w:ascii="Arial" w:hAnsi="Arial"/>
        </w:rPr>
        <w:t>Lancaster, PA  17603-3085</w:t>
      </w:r>
    </w:p>
    <w:p w:rsidR="00294881" w:rsidRDefault="00294881" w:rsidP="00294881">
      <w:pPr>
        <w:rPr>
          <w:rFonts w:ascii="Arial" w:hAnsi="Arial"/>
        </w:rPr>
      </w:pPr>
      <w:r>
        <w:rPr>
          <w:rFonts w:ascii="Arial" w:hAnsi="Arial"/>
        </w:rPr>
        <w:t>(717)394-0623</w:t>
      </w:r>
    </w:p>
    <w:p w:rsidR="00294881" w:rsidRDefault="00294881" w:rsidP="00294881">
      <w:pPr>
        <w:rPr>
          <w:rFonts w:ascii="Arial" w:hAnsi="Arial"/>
        </w:rPr>
      </w:pPr>
    </w:p>
    <w:p w:rsidR="00294881" w:rsidRDefault="00294881" w:rsidP="00294881">
      <w:pPr>
        <w:rPr>
          <w:rFonts w:ascii="Arial" w:hAnsi="Arial"/>
        </w:rPr>
      </w:pPr>
      <w:r>
        <w:rPr>
          <w:rFonts w:ascii="Arial" w:hAnsi="Arial"/>
        </w:rPr>
        <w:t xml:space="preserve">An additional copy of the Summary Plan Description can also be obtained from the above stated person. </w:t>
      </w:r>
    </w:p>
    <w:p w:rsidR="00294881" w:rsidRDefault="00294881">
      <w:pPr>
        <w:rPr>
          <w:rFonts w:ascii="Arial" w:hAnsi="Arial"/>
          <w:sz w:val="22"/>
        </w:rPr>
      </w:pPr>
    </w:p>
    <w:sectPr w:rsidR="00294881" w:rsidSect="0003184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1B" w:rsidRDefault="00492C1B">
      <w:r>
        <w:separator/>
      </w:r>
    </w:p>
  </w:endnote>
  <w:endnote w:type="continuationSeparator" w:id="0">
    <w:p w:rsidR="00492C1B" w:rsidRDefault="00492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CB" w:rsidRDefault="00B87861">
    <w:pPr>
      <w:pStyle w:val="Footer"/>
      <w:rPr>
        <w:rFonts w:ascii="Arial" w:hAnsi="Arial"/>
      </w:rPr>
    </w:pPr>
    <w:r>
      <w:rPr>
        <w:rFonts w:ascii="Arial" w:hAnsi="Arial"/>
        <w:sz w:val="16"/>
      </w:rPr>
      <w:t>082017djl</w:t>
    </w:r>
    <w:r w:rsidR="004D42CB">
      <w:rPr>
        <w:rFonts w:ascii="Arial" w:hAnsi="Arial"/>
      </w:rPr>
      <w:tab/>
      <w:t xml:space="preserve">Benefits - </w:t>
    </w:r>
    <w:proofErr w:type="spellStart"/>
    <w:r w:rsidR="004D42CB">
      <w:rPr>
        <w:rFonts w:ascii="Arial" w:hAnsi="Arial"/>
      </w:rPr>
      <w:t>i</w:t>
    </w:r>
    <w:proofErr w:type="spellEnd"/>
    <w:r w:rsidR="004D42CB">
      <w:rPr>
        <w:rFonts w:ascii="Arial" w:hAnsi="Arial"/>
      </w:rPr>
      <w:t xml:space="preserve"> - </w:t>
    </w:r>
    <w:r w:rsidR="00FC23B5">
      <w:rPr>
        <w:rStyle w:val="PageNumber"/>
        <w:rFonts w:ascii="Arial" w:hAnsi="Arial"/>
      </w:rPr>
      <w:fldChar w:fldCharType="begin"/>
    </w:r>
    <w:r w:rsidR="004D42CB">
      <w:rPr>
        <w:rStyle w:val="PageNumber"/>
        <w:rFonts w:ascii="Arial" w:hAnsi="Arial"/>
      </w:rPr>
      <w:instrText xml:space="preserve"> PAGE </w:instrText>
    </w:r>
    <w:r w:rsidR="00FC23B5">
      <w:rPr>
        <w:rStyle w:val="PageNumber"/>
        <w:rFonts w:ascii="Arial" w:hAnsi="Arial"/>
      </w:rPr>
      <w:fldChar w:fldCharType="separate"/>
    </w:r>
    <w:r w:rsidR="00C50872">
      <w:rPr>
        <w:rStyle w:val="PageNumber"/>
        <w:rFonts w:ascii="Arial" w:hAnsi="Arial"/>
        <w:noProof/>
      </w:rPr>
      <w:t>3</w:t>
    </w:r>
    <w:r w:rsidR="00FC23B5">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1B" w:rsidRDefault="00492C1B">
      <w:r>
        <w:separator/>
      </w:r>
    </w:p>
  </w:footnote>
  <w:footnote w:type="continuationSeparator" w:id="0">
    <w:p w:rsidR="00492C1B" w:rsidRDefault="00492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80" w:rsidRDefault="00B87861">
    <w:pPr>
      <w:pStyle w:val="Header"/>
    </w:pPr>
    <w:r w:rsidRPr="00B87861">
      <w:rPr>
        <w:noProof/>
      </w:rPr>
      <w:drawing>
        <wp:inline distT="0" distB="0" distL="0" distR="0">
          <wp:extent cx="501945" cy="614356"/>
          <wp:effectExtent l="19050" t="0" r="0" b="0"/>
          <wp:docPr id="6"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776"/>
    <w:multiLevelType w:val="multilevel"/>
    <w:tmpl w:val="C3DEB1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4A3610"/>
    <w:multiLevelType w:val="multilevel"/>
    <w:tmpl w:val="9B0EFD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D9B2F07"/>
    <w:multiLevelType w:val="multilevel"/>
    <w:tmpl w:val="9BDA69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78545FC"/>
    <w:multiLevelType w:val="multilevel"/>
    <w:tmpl w:val="451CA0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CA342E2"/>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E7A"/>
    <w:rsid w:val="00031432"/>
    <w:rsid w:val="00031840"/>
    <w:rsid w:val="00043399"/>
    <w:rsid w:val="000B0F48"/>
    <w:rsid w:val="000E4540"/>
    <w:rsid w:val="000F114D"/>
    <w:rsid w:val="00155D9E"/>
    <w:rsid w:val="001B118B"/>
    <w:rsid w:val="001E5DD8"/>
    <w:rsid w:val="00237574"/>
    <w:rsid w:val="00242E7A"/>
    <w:rsid w:val="00294881"/>
    <w:rsid w:val="002A3546"/>
    <w:rsid w:val="002C2CE4"/>
    <w:rsid w:val="00305034"/>
    <w:rsid w:val="0036223F"/>
    <w:rsid w:val="00467435"/>
    <w:rsid w:val="00470DAA"/>
    <w:rsid w:val="00492C1B"/>
    <w:rsid w:val="004B50C7"/>
    <w:rsid w:val="004C3001"/>
    <w:rsid w:val="004D42CB"/>
    <w:rsid w:val="004F6F4F"/>
    <w:rsid w:val="0050114E"/>
    <w:rsid w:val="00556E53"/>
    <w:rsid w:val="0058193F"/>
    <w:rsid w:val="005D626C"/>
    <w:rsid w:val="005F0FCF"/>
    <w:rsid w:val="00635488"/>
    <w:rsid w:val="00664986"/>
    <w:rsid w:val="006E112C"/>
    <w:rsid w:val="00704B38"/>
    <w:rsid w:val="00744B1E"/>
    <w:rsid w:val="007A77B4"/>
    <w:rsid w:val="007D3244"/>
    <w:rsid w:val="00807244"/>
    <w:rsid w:val="008145B6"/>
    <w:rsid w:val="00827652"/>
    <w:rsid w:val="008441CD"/>
    <w:rsid w:val="008E6548"/>
    <w:rsid w:val="00934BB3"/>
    <w:rsid w:val="009923D7"/>
    <w:rsid w:val="009D1EE1"/>
    <w:rsid w:val="009E5941"/>
    <w:rsid w:val="00AD5B79"/>
    <w:rsid w:val="00AE3ED7"/>
    <w:rsid w:val="00AE6B48"/>
    <w:rsid w:val="00AF773E"/>
    <w:rsid w:val="00B13630"/>
    <w:rsid w:val="00B23C62"/>
    <w:rsid w:val="00B71333"/>
    <w:rsid w:val="00B87861"/>
    <w:rsid w:val="00C30490"/>
    <w:rsid w:val="00C50872"/>
    <w:rsid w:val="00C95F4F"/>
    <w:rsid w:val="00D03606"/>
    <w:rsid w:val="00DB6D53"/>
    <w:rsid w:val="00DC2EC2"/>
    <w:rsid w:val="00E54B80"/>
    <w:rsid w:val="00EF554F"/>
    <w:rsid w:val="00F5761C"/>
    <w:rsid w:val="00FC23B5"/>
    <w:rsid w:val="00FD385F"/>
    <w:rsid w:val="00FF4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40"/>
    <w:rPr>
      <w:sz w:val="24"/>
    </w:rPr>
  </w:style>
  <w:style w:type="paragraph" w:styleId="Heading1">
    <w:name w:val="heading 1"/>
    <w:basedOn w:val="Normal"/>
    <w:next w:val="Normal"/>
    <w:qFormat/>
    <w:rsid w:val="00031840"/>
    <w:pPr>
      <w:keepNext/>
      <w:outlineLvl w:val="0"/>
    </w:pPr>
    <w:rPr>
      <w:rFonts w:ascii="Arial" w:hAnsi="Arial"/>
      <w:b/>
      <w:i/>
      <w:sz w:val="20"/>
    </w:rPr>
  </w:style>
  <w:style w:type="paragraph" w:styleId="Heading2">
    <w:name w:val="heading 2"/>
    <w:basedOn w:val="Normal"/>
    <w:next w:val="Normal"/>
    <w:qFormat/>
    <w:rsid w:val="00031840"/>
    <w:pPr>
      <w:keepNext/>
      <w:outlineLvl w:val="1"/>
    </w:pPr>
    <w:rPr>
      <w:rFonts w:ascii="Arial" w:hAnsi="Arial"/>
      <w:b/>
      <w:i/>
    </w:rPr>
  </w:style>
  <w:style w:type="paragraph" w:styleId="Heading3">
    <w:name w:val="heading 3"/>
    <w:basedOn w:val="Normal"/>
    <w:next w:val="Normal"/>
    <w:qFormat/>
    <w:rsid w:val="00031840"/>
    <w:pPr>
      <w:keepNext/>
      <w:outlineLvl w:val="2"/>
    </w:pPr>
    <w:rPr>
      <w:rFonts w:ascii="Arial" w:hAnsi="Arial"/>
      <w:b/>
      <w:color w:val="000000"/>
    </w:rPr>
  </w:style>
  <w:style w:type="paragraph" w:styleId="Heading4">
    <w:name w:val="heading 4"/>
    <w:basedOn w:val="Normal"/>
    <w:next w:val="Normal"/>
    <w:qFormat/>
    <w:rsid w:val="00031840"/>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31840"/>
    <w:pPr>
      <w:tabs>
        <w:tab w:val="center" w:pos="4320"/>
        <w:tab w:val="right" w:pos="8640"/>
      </w:tabs>
    </w:pPr>
  </w:style>
  <w:style w:type="paragraph" w:styleId="Footer">
    <w:name w:val="footer"/>
    <w:basedOn w:val="Normal"/>
    <w:semiHidden/>
    <w:rsid w:val="00031840"/>
    <w:pPr>
      <w:tabs>
        <w:tab w:val="center" w:pos="4320"/>
        <w:tab w:val="right" w:pos="8640"/>
      </w:tabs>
    </w:pPr>
  </w:style>
  <w:style w:type="character" w:styleId="PageNumber">
    <w:name w:val="page number"/>
    <w:basedOn w:val="DefaultParagraphFont"/>
    <w:semiHidden/>
    <w:rsid w:val="00031840"/>
  </w:style>
  <w:style w:type="paragraph" w:styleId="Title">
    <w:name w:val="Title"/>
    <w:basedOn w:val="Normal"/>
    <w:qFormat/>
    <w:rsid w:val="00031840"/>
    <w:pPr>
      <w:jc w:val="center"/>
    </w:pPr>
    <w:rPr>
      <w:rFonts w:ascii="Arial" w:hAnsi="Arial"/>
      <w:b/>
    </w:rPr>
  </w:style>
  <w:style w:type="paragraph" w:styleId="BalloonText">
    <w:name w:val="Balloon Text"/>
    <w:basedOn w:val="Normal"/>
    <w:link w:val="BalloonTextChar"/>
    <w:uiPriority w:val="99"/>
    <w:semiHidden/>
    <w:unhideWhenUsed/>
    <w:rsid w:val="00043399"/>
    <w:rPr>
      <w:rFonts w:ascii="Tahoma" w:hAnsi="Tahoma" w:cs="Tahoma"/>
      <w:sz w:val="16"/>
      <w:szCs w:val="16"/>
    </w:rPr>
  </w:style>
  <w:style w:type="character" w:customStyle="1" w:styleId="BalloonTextChar">
    <w:name w:val="Balloon Text Char"/>
    <w:basedOn w:val="DefaultParagraphFont"/>
    <w:link w:val="BalloonText"/>
    <w:uiPriority w:val="99"/>
    <w:semiHidden/>
    <w:rsid w:val="00043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8F13-26A5-4372-8036-ACC02640B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D59C18-3081-4BD8-A358-29910DD76301}">
  <ds:schemaRefs>
    <ds:schemaRef ds:uri="http://schemas.microsoft.com/office/2006/metadata/longProperties"/>
  </ds:schemaRefs>
</ds:datastoreItem>
</file>

<file path=customXml/itemProps3.xml><?xml version="1.0" encoding="utf-8"?>
<ds:datastoreItem xmlns:ds="http://schemas.openxmlformats.org/officeDocument/2006/customXml" ds:itemID="{7CEBD98E-1810-4D9C-BC2E-A310141FB1D6}">
  <ds:schemaRefs>
    <ds:schemaRef ds:uri="http://schemas.microsoft.com/sharepoint/v3/contenttype/forms"/>
  </ds:schemaRefs>
</ds:datastoreItem>
</file>

<file path=customXml/itemProps4.xml><?xml version="1.0" encoding="utf-8"?>
<ds:datastoreItem xmlns:ds="http://schemas.openxmlformats.org/officeDocument/2006/customXml" ds:itemID="{88660100-6010-44A8-82E2-8B01FEC591F7}">
  <ds:schemaRefs>
    <ds:schemaRef ds:uri="http://schemas.microsoft.com/office/2006/metadata/properties"/>
  </ds:schemaRefs>
</ds:datastoreItem>
</file>

<file path=customXml/itemProps5.xml><?xml version="1.0" encoding="utf-8"?>
<ds:datastoreItem xmlns:ds="http://schemas.openxmlformats.org/officeDocument/2006/customXml" ds:itemID="{E3302138-F242-47C8-8BD2-1AA1A355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INITIAL QUALIFICATION FOR 401(K) SALARY SAVINGS PLAN</vt:lpstr>
    </vt:vector>
  </TitlesOfParts>
  <Company>Isaacs Deli</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QUALIFICATION FOR 401(K) SALARY SAVINGS PLAN</dc:title>
  <dc:subject/>
  <dc:creator>Debra Miller</dc:creator>
  <cp:keywords/>
  <cp:lastModifiedBy>Jes Snyder</cp:lastModifiedBy>
  <cp:revision>24</cp:revision>
  <cp:lastPrinted>2003-05-19T12:43:00Z</cp:lastPrinted>
  <dcterms:created xsi:type="dcterms:W3CDTF">2011-12-07T14:28:00Z</dcterms:created>
  <dcterms:modified xsi:type="dcterms:W3CDTF">2017-08-02T18:00:00Z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900.000000000000</vt:lpwstr>
  </property>
  <property fmtid="{D5CDD505-2E9C-101B-9397-08002B2CF9AE}" pid="3" name="Notes0">
    <vt:lpwstr>Benefits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Benefit</vt:lpwstr>
  </property>
  <property fmtid="{D5CDD505-2E9C-101B-9397-08002B2CF9AE}" pid="8" name="Committee or Task Force">
    <vt:lpwstr/>
  </property>
</Properties>
</file>